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57A5E"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57A5E" w:rsidRDefault="00257A5E" w:rsidP="00257A5E">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50118F2" w:rsidR="00257A5E" w:rsidRDefault="00257A5E" w:rsidP="00257A5E">
            <w:pPr>
              <w:pStyle w:val="Normalintable"/>
            </w:pPr>
            <w:r>
              <w:t>Plots 15, 16, 17 &amp; 18 – Sefton Street, L26 6AH</w:t>
            </w:r>
          </w:p>
        </w:tc>
      </w:tr>
      <w:tr w:rsidR="00257A5E"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57A5E" w:rsidRDefault="00257A5E" w:rsidP="00257A5E">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4E703B7" w:rsidR="00257A5E" w:rsidRDefault="00257A5E" w:rsidP="00257A5E">
            <w:pPr>
              <w:pStyle w:val="Normalintable"/>
            </w:pPr>
            <w:r>
              <w:t>The Joiner - 2 bedroom semi-detached house</w:t>
            </w:r>
          </w:p>
        </w:tc>
      </w:tr>
      <w:tr w:rsidR="00257A5E"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57A5E" w:rsidRDefault="00257A5E" w:rsidP="00257A5E">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081E344D" w:rsidR="00257A5E" w:rsidRDefault="00257A5E" w:rsidP="00257A5E">
            <w:pPr>
              <w:pStyle w:val="Normalintable"/>
            </w:pPr>
            <w:r>
              <w:t>Shared ownership</w:t>
            </w:r>
          </w:p>
        </w:tc>
      </w:tr>
      <w:tr w:rsidR="00257A5E"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57A5E" w:rsidRDefault="00257A5E" w:rsidP="00257A5E">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18E478D" w:rsidR="00257A5E" w:rsidRDefault="00257A5E" w:rsidP="00257A5E">
            <w:pPr>
              <w:pStyle w:val="Normalintable"/>
            </w:pPr>
            <w:r>
              <w:t>£204,000</w:t>
            </w:r>
          </w:p>
        </w:tc>
      </w:tr>
      <w:tr w:rsidR="00257A5E"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57A5E" w:rsidRDefault="00257A5E" w:rsidP="00257A5E">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57A5E" w:rsidRDefault="00257A5E" w:rsidP="00257A5E">
            <w:pPr>
              <w:pStyle w:val="Normalintable"/>
            </w:pPr>
            <w:r>
              <w:t xml:space="preserve">The share purchase price is calculated using the full market value and the percentage share purchased. </w:t>
            </w:r>
          </w:p>
          <w:p w14:paraId="2E49823B" w14:textId="77777777" w:rsidR="00257A5E" w:rsidRDefault="00257A5E" w:rsidP="00257A5E">
            <w:pPr>
              <w:pStyle w:val="Normalintable"/>
              <w:rPr>
                <w:i/>
                <w:iCs/>
                <w:shd w:val="clear" w:color="auto" w:fill="FFFF00"/>
              </w:rPr>
            </w:pPr>
          </w:p>
          <w:p w14:paraId="44A7D156" w14:textId="46174706" w:rsidR="00257A5E" w:rsidRDefault="00257A5E" w:rsidP="00257A5E">
            <w:pPr>
              <w:pStyle w:val="Normalintable"/>
            </w:pPr>
            <w:r>
              <w:t xml:space="preserve">If you buy a 50% share, the share purchase price will be </w:t>
            </w:r>
            <w:r w:rsidRPr="00257A5E">
              <w:t xml:space="preserve">£102,000 and the rent will be £233.75 a month. </w:t>
            </w:r>
          </w:p>
          <w:p w14:paraId="75169D91" w14:textId="77777777" w:rsidR="00257A5E" w:rsidRDefault="00257A5E" w:rsidP="00257A5E">
            <w:pPr>
              <w:pStyle w:val="Normalintable"/>
            </w:pPr>
          </w:p>
          <w:p w14:paraId="7FA7AEE5" w14:textId="77777777" w:rsidR="00257A5E" w:rsidRDefault="00257A5E" w:rsidP="00257A5E">
            <w:pPr>
              <w:pStyle w:val="Normalintable"/>
            </w:pPr>
            <w:r>
              <w:t>If you buy a larger share, you'll pay less rent. The table below shows further examples.</w:t>
            </w:r>
          </w:p>
          <w:p w14:paraId="5EED84B2" w14:textId="77777777" w:rsidR="00257A5E" w:rsidRDefault="00257A5E" w:rsidP="00257A5E">
            <w:pPr>
              <w:pStyle w:val="Normalintable"/>
            </w:pPr>
          </w:p>
          <w:p w14:paraId="36C067FB" w14:textId="77777777" w:rsidR="00257A5E" w:rsidRDefault="00257A5E" w:rsidP="00257A5E">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57A5E"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57A5E" w:rsidRDefault="00257A5E" w:rsidP="00257A5E">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57A5E" w:rsidRDefault="00257A5E" w:rsidP="00257A5E">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57A5E" w:rsidRDefault="00257A5E" w:rsidP="00257A5E">
                  <w:pPr>
                    <w:pStyle w:val="Normalintable"/>
                  </w:pPr>
                  <w:r>
                    <w:rPr>
                      <w:b/>
                      <w:bCs/>
                    </w:rPr>
                    <w:t>Monthly rent</w:t>
                  </w:r>
                </w:p>
              </w:tc>
            </w:tr>
            <w:tr w:rsidR="00257A5E"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349906C0" w:rsidR="00257A5E" w:rsidRDefault="00257A5E" w:rsidP="00257A5E">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674D4191" w:rsidR="00257A5E" w:rsidRDefault="00257A5E" w:rsidP="00257A5E">
                  <w:pPr>
                    <w:pStyle w:val="Normalintable"/>
                  </w:pPr>
                  <w:r>
                    <w:t>£51,000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406F3709" w:rsidR="00257A5E" w:rsidRDefault="00257A5E" w:rsidP="00257A5E">
                  <w:pPr>
                    <w:pStyle w:val="Normalintable"/>
                  </w:pPr>
                  <w:r>
                    <w:t>£350.63</w:t>
                  </w:r>
                </w:p>
              </w:tc>
            </w:tr>
            <w:tr w:rsidR="00257A5E"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43999DCC" w:rsidR="00257A5E" w:rsidRDefault="00257A5E" w:rsidP="00257A5E">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0A83E9C8" w:rsidR="00257A5E" w:rsidRDefault="00257A5E" w:rsidP="00257A5E">
                  <w:pPr>
                    <w:pStyle w:val="Normalintable"/>
                  </w:pPr>
                  <w:r>
                    <w:t>£61,200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4B974CAD" w:rsidR="00257A5E" w:rsidRDefault="00257A5E" w:rsidP="00257A5E">
                  <w:pPr>
                    <w:pStyle w:val="Normalintable"/>
                  </w:pPr>
                  <w:r>
                    <w:t>£327.25</w:t>
                  </w:r>
                </w:p>
              </w:tc>
            </w:tr>
            <w:tr w:rsidR="00257A5E"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CCC887C" w:rsidR="00257A5E" w:rsidRDefault="00257A5E" w:rsidP="00257A5E">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AF9EE95" w:rsidR="00257A5E" w:rsidRDefault="00257A5E" w:rsidP="00257A5E">
                  <w:pPr>
                    <w:pStyle w:val="Normalintable"/>
                  </w:pPr>
                  <w:r>
                    <w:t>£81,600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171771A" w:rsidR="00257A5E" w:rsidRDefault="00257A5E" w:rsidP="00257A5E">
                  <w:pPr>
                    <w:pStyle w:val="Normalintable"/>
                  </w:pPr>
                  <w:r>
                    <w:t>£280.50</w:t>
                  </w:r>
                </w:p>
              </w:tc>
            </w:tr>
            <w:tr w:rsidR="00257A5E"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13383202" w:rsidR="00257A5E" w:rsidRDefault="00257A5E" w:rsidP="00257A5E">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124240D" w:rsidR="00257A5E" w:rsidRDefault="00257A5E" w:rsidP="00257A5E">
                  <w:pPr>
                    <w:pStyle w:val="Normalintable"/>
                  </w:pPr>
                  <w:r>
                    <w:t>£102,000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190C80E" w:rsidR="00257A5E" w:rsidRDefault="00257A5E" w:rsidP="00257A5E">
                  <w:pPr>
                    <w:pStyle w:val="Normalintable"/>
                  </w:pPr>
                  <w:r>
                    <w:t>£233.75</w:t>
                  </w:r>
                </w:p>
              </w:tc>
            </w:tr>
            <w:tr w:rsidR="00257A5E"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4C301B2B" w:rsidR="00257A5E" w:rsidRDefault="00257A5E" w:rsidP="00257A5E">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98C6BD0" w:rsidR="00257A5E" w:rsidRDefault="00257A5E" w:rsidP="00257A5E">
                  <w:pPr>
                    <w:pStyle w:val="Normalintable"/>
                  </w:pPr>
                  <w:r>
                    <w:t>£122,400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46CFA31" w:rsidR="00257A5E" w:rsidRDefault="00257A5E" w:rsidP="00257A5E">
                  <w:pPr>
                    <w:pStyle w:val="Normalintable"/>
                  </w:pPr>
                  <w:r>
                    <w:t>£187.00</w:t>
                  </w:r>
                </w:p>
              </w:tc>
            </w:tr>
            <w:tr w:rsidR="00257A5E"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22D853CA" w:rsidR="00257A5E" w:rsidRDefault="00257A5E" w:rsidP="00257A5E">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BD368E6" w:rsidR="00257A5E" w:rsidRDefault="00257A5E" w:rsidP="00257A5E">
                  <w:pPr>
                    <w:pStyle w:val="Normalintable"/>
                  </w:pPr>
                  <w:r>
                    <w:t>£142,800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80B32DC" w:rsidR="00257A5E" w:rsidRDefault="00257A5E" w:rsidP="00257A5E">
                  <w:pPr>
                    <w:pStyle w:val="Normalintable"/>
                  </w:pPr>
                  <w:r>
                    <w:t>£140.25</w:t>
                  </w:r>
                </w:p>
              </w:tc>
            </w:tr>
            <w:tr w:rsidR="00257A5E"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6C3E25DA" w:rsidR="00257A5E" w:rsidRDefault="00257A5E" w:rsidP="00257A5E">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942DD0C" w:rsidR="00257A5E" w:rsidRDefault="00257A5E" w:rsidP="00257A5E">
                  <w:pPr>
                    <w:pStyle w:val="Normalintable"/>
                  </w:pPr>
                  <w:r>
                    <w:t>£153,000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FAB009B" w:rsidR="00257A5E" w:rsidRDefault="00257A5E" w:rsidP="00257A5E">
                  <w:pPr>
                    <w:pStyle w:val="Normalintable"/>
                  </w:pPr>
                  <w:r>
                    <w:t>£116.88</w:t>
                  </w:r>
                </w:p>
              </w:tc>
            </w:tr>
          </w:tbl>
          <w:p w14:paraId="6F8A3DFB" w14:textId="77777777" w:rsidR="00257A5E" w:rsidRDefault="00257A5E" w:rsidP="00257A5E">
            <w:pPr>
              <w:pStyle w:val="Normalintable"/>
              <w:tabs>
                <w:tab w:val="left" w:pos="2732"/>
              </w:tabs>
            </w:pPr>
          </w:p>
          <w:p w14:paraId="2578BD19" w14:textId="77777777" w:rsidR="00257A5E" w:rsidRDefault="00257A5E" w:rsidP="00257A5E">
            <w:pPr>
              <w:pStyle w:val="Normalintable"/>
            </w:pPr>
            <w:r>
              <w:t>The percentage share and rent amount will change depending on the amount you can afford. You'll receive a worked example after a financial assessment.</w:t>
            </w:r>
          </w:p>
          <w:p w14:paraId="23FB25C0" w14:textId="77777777" w:rsidR="00257A5E" w:rsidRDefault="00257A5E" w:rsidP="00257A5E">
            <w:pPr>
              <w:pStyle w:val="Normalintable"/>
            </w:pPr>
          </w:p>
          <w:p w14:paraId="696F0447" w14:textId="44F766CE" w:rsidR="00257A5E" w:rsidRDefault="00257A5E" w:rsidP="00257A5E">
            <w:pPr>
              <w:pStyle w:val="Normalintable"/>
            </w:pPr>
            <w:r>
              <w:t>Your annual rent is calculated as 2.75% of the remaining share of the full market value owned by the landlord.</w:t>
            </w:r>
          </w:p>
        </w:tc>
      </w:tr>
      <w:tr w:rsidR="00257A5E"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57A5E" w:rsidRDefault="00257A5E" w:rsidP="00257A5E">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57A5E" w:rsidRDefault="00257A5E" w:rsidP="00257A5E">
            <w:pPr>
              <w:pStyle w:val="Normalintable"/>
            </w:pPr>
            <w:r>
              <w:t>In addition to the rent above, the monthly payment to the landlord includes:</w:t>
            </w:r>
          </w:p>
          <w:p w14:paraId="607F460C" w14:textId="77777777" w:rsidR="00257A5E" w:rsidRDefault="00257A5E" w:rsidP="00257A5E">
            <w:pPr>
              <w:pStyle w:val="Normalintable"/>
            </w:pPr>
          </w:p>
          <w:p w14:paraId="0DAF18C6" w14:textId="3CE1BD76" w:rsidR="00257A5E" w:rsidRDefault="00257A5E" w:rsidP="00257A5E">
            <w:pPr>
              <w:pStyle w:val="Normalintable"/>
              <w:tabs>
                <w:tab w:val="left" w:pos="2732"/>
              </w:tabs>
            </w:pPr>
            <w:r>
              <w:t>Service charge</w:t>
            </w:r>
            <w:r>
              <w:tab/>
              <w:t xml:space="preserve">£0 </w:t>
            </w:r>
          </w:p>
          <w:p w14:paraId="11561250" w14:textId="3880C694" w:rsidR="00257A5E" w:rsidRDefault="00257A5E" w:rsidP="00257A5E">
            <w:pPr>
              <w:pStyle w:val="Normalintable"/>
              <w:tabs>
                <w:tab w:val="left" w:pos="2732"/>
              </w:tabs>
            </w:pPr>
            <w:r>
              <w:t>Estate charge</w:t>
            </w:r>
            <w:r>
              <w:tab/>
              <w:t>£</w:t>
            </w:r>
            <w:r w:rsidR="00FB3830">
              <w:t>9.00</w:t>
            </w:r>
          </w:p>
          <w:p w14:paraId="2E094B40" w14:textId="39934A04" w:rsidR="00257A5E" w:rsidRDefault="00257A5E" w:rsidP="00257A5E">
            <w:pPr>
              <w:pStyle w:val="Normalintable"/>
              <w:tabs>
                <w:tab w:val="left" w:pos="2732"/>
              </w:tabs>
            </w:pPr>
            <w:r>
              <w:t>Buildings insurance</w:t>
            </w:r>
            <w:r>
              <w:tab/>
              <w:t>£5.63</w:t>
            </w:r>
          </w:p>
          <w:p w14:paraId="359894F7" w14:textId="3B08A657" w:rsidR="00257A5E" w:rsidRDefault="00257A5E" w:rsidP="00257A5E">
            <w:pPr>
              <w:pStyle w:val="Normalintable"/>
              <w:tabs>
                <w:tab w:val="left" w:pos="2732"/>
              </w:tabs>
            </w:pPr>
            <w:r>
              <w:t>Management fee</w:t>
            </w:r>
            <w:r>
              <w:tab/>
              <w:t>£0.90</w:t>
            </w:r>
          </w:p>
          <w:p w14:paraId="3997A2D8" w14:textId="045B47E5" w:rsidR="00257A5E" w:rsidRDefault="00257A5E" w:rsidP="00257A5E">
            <w:pPr>
              <w:pStyle w:val="Normalintable"/>
              <w:tabs>
                <w:tab w:val="left" w:pos="2732"/>
              </w:tabs>
            </w:pPr>
            <w:r>
              <w:t>Reserve fund payment</w:t>
            </w:r>
            <w:r>
              <w:tab/>
              <w:t>£0</w:t>
            </w:r>
          </w:p>
          <w:p w14:paraId="094F0D84" w14:textId="77777777" w:rsidR="00257A5E" w:rsidRDefault="00257A5E" w:rsidP="00257A5E">
            <w:pPr>
              <w:pStyle w:val="Normalintable"/>
              <w:tabs>
                <w:tab w:val="left" w:pos="2732"/>
              </w:tabs>
            </w:pPr>
          </w:p>
          <w:p w14:paraId="38C63AA6" w14:textId="6A5FF7DD" w:rsidR="00257A5E" w:rsidRDefault="00257A5E" w:rsidP="00257A5E">
            <w:pPr>
              <w:pStyle w:val="Normalintable"/>
              <w:tabs>
                <w:tab w:val="left" w:pos="2732"/>
              </w:tabs>
            </w:pPr>
            <w:r>
              <w:t xml:space="preserve">Total monthly payment </w:t>
            </w:r>
            <w:r>
              <w:rPr>
                <w:b/>
                <w:bCs/>
              </w:rPr>
              <w:t>excluding rent</w:t>
            </w:r>
            <w:r>
              <w:tab/>
              <w:t>£15.</w:t>
            </w:r>
            <w:r w:rsidR="00FB3830">
              <w:t>53</w:t>
            </w:r>
          </w:p>
        </w:tc>
      </w:tr>
      <w:tr w:rsidR="00257A5E"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57A5E" w:rsidRDefault="00257A5E" w:rsidP="00257A5E">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327CBE79" w:rsidR="00257A5E" w:rsidRDefault="00257A5E" w:rsidP="00257A5E">
            <w:pPr>
              <w:pStyle w:val="Normalintable"/>
            </w:pPr>
            <w:r>
              <w:t>£500</w:t>
            </w:r>
          </w:p>
          <w:p w14:paraId="0546F814" w14:textId="77777777" w:rsidR="00257A5E" w:rsidRDefault="00257A5E" w:rsidP="00257A5E">
            <w:pPr>
              <w:pStyle w:val="Normalintable"/>
            </w:pPr>
          </w:p>
          <w:p w14:paraId="0EA7D3E3" w14:textId="77777777" w:rsidR="00257A5E" w:rsidRDefault="00257A5E" w:rsidP="00257A5E">
            <w:pPr>
              <w:pStyle w:val="Normalintable"/>
            </w:pPr>
            <w:r>
              <w:lastRenderedPageBreak/>
              <w:t xml:space="preserve">You’ll need to pay a reservation fee to secure your home. When you pay the fee, no one else will be able to reserve the home. </w:t>
            </w:r>
          </w:p>
          <w:p w14:paraId="57785CEB" w14:textId="77777777" w:rsidR="00257A5E" w:rsidRDefault="00257A5E" w:rsidP="00257A5E">
            <w:pPr>
              <w:pStyle w:val="Normalintable"/>
            </w:pPr>
          </w:p>
          <w:p w14:paraId="4AD0DA0C" w14:textId="61331125" w:rsidR="00257A5E" w:rsidRDefault="00257A5E" w:rsidP="00257A5E">
            <w:pPr>
              <w:pStyle w:val="Normalintable"/>
            </w:pPr>
            <w:r>
              <w:t>The reservation fee secures the home for 90 days. If you buy the home, the fee will be taken off the final amount you pay on completion. If you do not buy the home, the fee may be partially refundable.</w:t>
            </w:r>
          </w:p>
        </w:tc>
      </w:tr>
      <w:tr w:rsidR="00257A5E"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57A5E" w:rsidRDefault="00257A5E" w:rsidP="00257A5E">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57A5E" w:rsidRDefault="00257A5E" w:rsidP="00257A5E">
            <w:pPr>
              <w:pStyle w:val="Normalintable"/>
            </w:pPr>
            <w:r>
              <w:t>You can apply to buy the home if both of the following apply:</w:t>
            </w:r>
          </w:p>
          <w:p w14:paraId="06303785" w14:textId="77777777" w:rsidR="00257A5E" w:rsidRDefault="00257A5E" w:rsidP="00257A5E">
            <w:pPr>
              <w:pStyle w:val="Normalintable"/>
            </w:pPr>
          </w:p>
          <w:p w14:paraId="02CE9B86" w14:textId="1408F306" w:rsidR="00257A5E" w:rsidRDefault="00257A5E" w:rsidP="00257A5E">
            <w:pPr>
              <w:pStyle w:val="Normalintable"/>
              <w:numPr>
                <w:ilvl w:val="0"/>
                <w:numId w:val="4"/>
              </w:numPr>
            </w:pPr>
            <w:r>
              <w:t>your household income is £</w:t>
            </w:r>
            <w:r w:rsidR="00793B19">
              <w:t xml:space="preserve">80,000 </w:t>
            </w:r>
            <w:r>
              <w:t>or less</w:t>
            </w:r>
          </w:p>
          <w:p w14:paraId="4B310B9E" w14:textId="77777777" w:rsidR="00257A5E" w:rsidRDefault="00257A5E" w:rsidP="00257A5E">
            <w:pPr>
              <w:pStyle w:val="Normalintable"/>
              <w:numPr>
                <w:ilvl w:val="0"/>
                <w:numId w:val="4"/>
              </w:numPr>
            </w:pPr>
            <w:r>
              <w:t>you cannot afford all of the deposit and mortgage payments to buy a home that meets your needs</w:t>
            </w:r>
          </w:p>
          <w:p w14:paraId="33977F1F" w14:textId="77777777" w:rsidR="00257A5E" w:rsidRDefault="00257A5E" w:rsidP="00257A5E">
            <w:pPr>
              <w:pStyle w:val="Normalintable"/>
              <w:ind w:left="720"/>
            </w:pPr>
          </w:p>
          <w:p w14:paraId="55F4A71F" w14:textId="77777777" w:rsidR="00257A5E" w:rsidRDefault="00257A5E" w:rsidP="00257A5E">
            <w:pPr>
              <w:pStyle w:val="Normalintable"/>
            </w:pPr>
            <w:r>
              <w:t xml:space="preserve"> One of the following must also be true:</w:t>
            </w:r>
          </w:p>
          <w:p w14:paraId="25BC2874" w14:textId="77777777" w:rsidR="00257A5E" w:rsidRDefault="00257A5E" w:rsidP="00257A5E">
            <w:pPr>
              <w:pStyle w:val="Normalintable"/>
            </w:pPr>
          </w:p>
          <w:p w14:paraId="3E68BBF6" w14:textId="77777777" w:rsidR="00257A5E" w:rsidRDefault="00257A5E" w:rsidP="00257A5E">
            <w:pPr>
              <w:pStyle w:val="Normalintable"/>
              <w:numPr>
                <w:ilvl w:val="0"/>
                <w:numId w:val="5"/>
              </w:numPr>
            </w:pPr>
            <w:r>
              <w:t>you're a first-time buyer</w:t>
            </w:r>
          </w:p>
          <w:p w14:paraId="52FFB3B1" w14:textId="77777777" w:rsidR="00257A5E" w:rsidRDefault="00257A5E" w:rsidP="00257A5E">
            <w:pPr>
              <w:pStyle w:val="Normalintable"/>
              <w:numPr>
                <w:ilvl w:val="0"/>
                <w:numId w:val="5"/>
              </w:numPr>
            </w:pPr>
            <w:r>
              <w:t>you used to own a home but cannot afford to buy one now</w:t>
            </w:r>
          </w:p>
          <w:p w14:paraId="369D79A6" w14:textId="77777777" w:rsidR="00257A5E" w:rsidRDefault="00257A5E" w:rsidP="00257A5E">
            <w:pPr>
              <w:pStyle w:val="Normalintable"/>
              <w:numPr>
                <w:ilvl w:val="0"/>
                <w:numId w:val="5"/>
              </w:numPr>
            </w:pPr>
            <w:r>
              <w:t>you're forming a new household - for example, after a relationship breakdown</w:t>
            </w:r>
          </w:p>
          <w:p w14:paraId="5250A1CE" w14:textId="77777777" w:rsidR="00257A5E" w:rsidRDefault="00257A5E" w:rsidP="00257A5E">
            <w:pPr>
              <w:pStyle w:val="Normalintable"/>
              <w:numPr>
                <w:ilvl w:val="0"/>
                <w:numId w:val="5"/>
              </w:numPr>
            </w:pPr>
            <w:r>
              <w:t>you're an existing shared owner, and you want to move</w:t>
            </w:r>
          </w:p>
          <w:p w14:paraId="7A5C4721" w14:textId="77777777" w:rsidR="00257A5E" w:rsidRDefault="00257A5E" w:rsidP="00257A5E">
            <w:pPr>
              <w:pStyle w:val="Normalintable"/>
              <w:numPr>
                <w:ilvl w:val="0"/>
                <w:numId w:val="5"/>
              </w:numPr>
            </w:pPr>
            <w:r>
              <w:t>you own a home and want to move but cannot afford to buy a new home for your needs</w:t>
            </w:r>
          </w:p>
          <w:p w14:paraId="4121C163" w14:textId="77777777" w:rsidR="00257A5E" w:rsidRDefault="00257A5E" w:rsidP="00257A5E">
            <w:pPr>
              <w:pStyle w:val="Normalintable"/>
            </w:pPr>
          </w:p>
          <w:p w14:paraId="4704CB4E" w14:textId="77777777" w:rsidR="00257A5E" w:rsidRDefault="00257A5E" w:rsidP="00257A5E">
            <w:pPr>
              <w:pStyle w:val="Normalintable"/>
            </w:pPr>
            <w:r>
              <w:t>If you own a home, you must have completed the sale of the home on or before the date you complete your shared ownership purchase.</w:t>
            </w:r>
          </w:p>
          <w:p w14:paraId="1DF84F19" w14:textId="77777777" w:rsidR="00257A5E" w:rsidRDefault="00257A5E" w:rsidP="00257A5E">
            <w:pPr>
              <w:pStyle w:val="Normalintable"/>
            </w:pPr>
          </w:p>
          <w:p w14:paraId="7D3B9D95" w14:textId="45A1DD13" w:rsidR="00257A5E" w:rsidRDefault="00257A5E" w:rsidP="00257A5E">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57A5E"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57A5E" w:rsidRDefault="00257A5E" w:rsidP="00257A5E">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57A5E" w:rsidRDefault="00257A5E" w:rsidP="00257A5E">
            <w:pPr>
              <w:pStyle w:val="Normalintable"/>
            </w:pPr>
            <w:r>
              <w:t>Leasehold</w:t>
            </w:r>
          </w:p>
        </w:tc>
      </w:tr>
      <w:tr w:rsidR="00257A5E"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57A5E" w:rsidRDefault="00257A5E" w:rsidP="00257A5E">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79DC0F0D" w:rsidR="00257A5E" w:rsidRPr="00D44A8A" w:rsidRDefault="00257A5E" w:rsidP="00257A5E">
            <w:pPr>
              <w:pStyle w:val="Normalintable"/>
            </w:pPr>
            <w:r>
              <w:t>Shared Ownership Lease of a House</w:t>
            </w:r>
          </w:p>
        </w:tc>
      </w:tr>
      <w:tr w:rsidR="00257A5E"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57A5E" w:rsidRDefault="00257A5E" w:rsidP="00257A5E">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0194516F" w:rsidR="00257A5E" w:rsidRDefault="00257A5E" w:rsidP="00257A5E">
            <w:pPr>
              <w:pStyle w:val="Normalintable"/>
            </w:pPr>
            <w:r>
              <w:t>990 years</w:t>
            </w:r>
          </w:p>
          <w:p w14:paraId="4837AA4F" w14:textId="77777777" w:rsidR="00257A5E" w:rsidRDefault="00257A5E" w:rsidP="00257A5E">
            <w:pPr>
              <w:pStyle w:val="Normalintable"/>
            </w:pPr>
          </w:p>
          <w:p w14:paraId="1A8D7A55" w14:textId="77777777" w:rsidR="00257A5E" w:rsidRDefault="00257A5E" w:rsidP="00257A5E">
            <w:pPr>
              <w:pStyle w:val="Normalintable"/>
            </w:pPr>
            <w:r>
              <w:t>For more information, see section 2.5, ‘Lease extensions’, in the ‘Key information about shared ownership’ document.</w:t>
            </w:r>
          </w:p>
        </w:tc>
      </w:tr>
      <w:tr w:rsidR="00257A5E"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57A5E" w:rsidRDefault="00257A5E" w:rsidP="00257A5E">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7777777" w:rsidR="00257A5E" w:rsidRDefault="00257A5E" w:rsidP="00257A5E">
            <w:pPr>
              <w:pStyle w:val="Normalintable"/>
            </w:pPr>
            <w:r>
              <w:t>You can buy up to 100%% of your home.</w:t>
            </w:r>
          </w:p>
        </w:tc>
      </w:tr>
      <w:tr w:rsidR="00257A5E"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57A5E" w:rsidRDefault="00257A5E" w:rsidP="00257A5E">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79E618D6" w:rsidR="00257A5E" w:rsidRDefault="00257A5E" w:rsidP="00257A5E">
            <w:pPr>
              <w:pStyle w:val="Normalintable"/>
            </w:pPr>
            <w:r>
              <w:t>At 100% ownership, the freehold will transfer to you.</w:t>
            </w:r>
          </w:p>
        </w:tc>
      </w:tr>
      <w:tr w:rsidR="00257A5E"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57A5E" w:rsidRDefault="00257A5E" w:rsidP="00257A5E">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BB399A" w14:textId="77777777" w:rsidR="00257A5E" w:rsidRDefault="00257A5E" w:rsidP="00257A5E">
            <w:pPr>
              <w:pStyle w:val="Normalintable"/>
            </w:pPr>
            <w:r>
              <w:t>Livv Housing Group</w:t>
            </w:r>
          </w:p>
          <w:p w14:paraId="139DBD63" w14:textId="77777777" w:rsidR="00257A5E" w:rsidRDefault="00257A5E" w:rsidP="00257A5E">
            <w:pPr>
              <w:pStyle w:val="Normalintable"/>
            </w:pPr>
            <w:r>
              <w:t>Lakeview</w:t>
            </w:r>
          </w:p>
          <w:p w14:paraId="25773CEF" w14:textId="77777777" w:rsidR="00257A5E" w:rsidRDefault="00257A5E" w:rsidP="00257A5E">
            <w:pPr>
              <w:pStyle w:val="Normalintable"/>
            </w:pPr>
            <w:r>
              <w:t>Kings Business Park</w:t>
            </w:r>
          </w:p>
          <w:p w14:paraId="6A69589D" w14:textId="77777777" w:rsidR="00257A5E" w:rsidRDefault="00257A5E" w:rsidP="00257A5E">
            <w:pPr>
              <w:pStyle w:val="Normalintable"/>
            </w:pPr>
            <w:r>
              <w:t>Prescot</w:t>
            </w:r>
          </w:p>
          <w:p w14:paraId="57EFACD8" w14:textId="66797D4A" w:rsidR="00257A5E" w:rsidRDefault="00257A5E" w:rsidP="00257A5E">
            <w:pPr>
              <w:pStyle w:val="Normalintable"/>
            </w:pPr>
            <w:r>
              <w:t>L34 1PJ</w:t>
            </w:r>
          </w:p>
          <w:p w14:paraId="6A85BB9C" w14:textId="77777777" w:rsidR="00257A5E" w:rsidRDefault="00257A5E" w:rsidP="00257A5E">
            <w:pPr>
              <w:pStyle w:val="Normalintable"/>
            </w:pPr>
          </w:p>
          <w:p w14:paraId="20C6B4AF" w14:textId="77777777" w:rsidR="00257A5E" w:rsidRDefault="00257A5E" w:rsidP="00257A5E">
            <w:pPr>
              <w:pStyle w:val="Normalintable"/>
            </w:pPr>
            <w:r>
              <w:t>Under a shared ownership lease, you pay for a percentage share of the market value of a home. You enter into a lease agreement with the landlord and agree to pay rent to the landlord on the remaining share.</w:t>
            </w:r>
          </w:p>
        </w:tc>
      </w:tr>
      <w:tr w:rsidR="00257A5E"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57A5E" w:rsidRDefault="00257A5E" w:rsidP="00257A5E">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57A5E" w:rsidRDefault="00257A5E" w:rsidP="00257A5E">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57A5E"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57A5E" w:rsidRDefault="00257A5E" w:rsidP="00257A5E">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77AEB18E" w:rsidR="00257A5E" w:rsidRDefault="00257A5E" w:rsidP="00257A5E">
            <w:pPr>
              <w:pStyle w:val="Normalintable"/>
            </w:pPr>
            <w:r w:rsidRPr="00D44A8A">
              <w:t>You can keep one caged pet at your home. Any further pets must be requested first.</w:t>
            </w:r>
          </w:p>
        </w:tc>
      </w:tr>
      <w:tr w:rsidR="00257A5E"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57A5E" w:rsidRDefault="00257A5E" w:rsidP="00257A5E">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57A5E" w:rsidRDefault="00257A5E" w:rsidP="00257A5E">
            <w:pPr>
              <w:pStyle w:val="Normalintable"/>
            </w:pPr>
            <w:r>
              <w:t>You can rent out a room in the home, but you must live there at the same time.</w:t>
            </w:r>
          </w:p>
          <w:p w14:paraId="5B0F5A1C" w14:textId="77777777" w:rsidR="00257A5E" w:rsidRDefault="00257A5E" w:rsidP="00257A5E">
            <w:pPr>
              <w:pStyle w:val="Normalintable"/>
            </w:pPr>
          </w:p>
          <w:p w14:paraId="7700C952" w14:textId="77777777" w:rsidR="00257A5E" w:rsidRDefault="00257A5E" w:rsidP="00257A5E">
            <w:pPr>
              <w:pStyle w:val="Normalintable"/>
            </w:pPr>
            <w:r>
              <w:t>You cannot sublet (rent out) your entire home unless you either:</w:t>
            </w:r>
          </w:p>
          <w:p w14:paraId="7438573B" w14:textId="77777777" w:rsidR="00257A5E" w:rsidRDefault="00257A5E" w:rsidP="00257A5E">
            <w:pPr>
              <w:pStyle w:val="Normalintable"/>
            </w:pPr>
          </w:p>
          <w:p w14:paraId="307769CC" w14:textId="77777777" w:rsidR="00257A5E" w:rsidRDefault="00257A5E" w:rsidP="00257A5E">
            <w:pPr>
              <w:pStyle w:val="Normalintable"/>
              <w:numPr>
                <w:ilvl w:val="0"/>
                <w:numId w:val="6"/>
              </w:numPr>
            </w:pPr>
            <w:r>
              <w:t>own a 100% share; or</w:t>
            </w:r>
          </w:p>
          <w:p w14:paraId="70227838" w14:textId="77777777" w:rsidR="00257A5E" w:rsidRDefault="00257A5E" w:rsidP="00257A5E">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57A5E" w:rsidRDefault="00257A5E" w:rsidP="00257A5E">
            <w:pPr>
              <w:pStyle w:val="Normalintable"/>
              <w:ind w:left="360"/>
            </w:pPr>
          </w:p>
          <w:p w14:paraId="238442C0" w14:textId="77777777" w:rsidR="00257A5E" w:rsidRDefault="00257A5E" w:rsidP="00257A5E">
            <w:pPr>
              <w:pStyle w:val="Normalintable"/>
              <w:ind w:left="360"/>
            </w:pPr>
            <w:r>
              <w:t xml:space="preserve">and </w:t>
            </w:r>
          </w:p>
          <w:p w14:paraId="24018583" w14:textId="77777777" w:rsidR="00257A5E" w:rsidRDefault="00257A5E" w:rsidP="00257A5E">
            <w:pPr>
              <w:pStyle w:val="Normalintable"/>
            </w:pPr>
          </w:p>
          <w:p w14:paraId="696BAA2F" w14:textId="77777777" w:rsidR="00257A5E" w:rsidRDefault="00257A5E" w:rsidP="00257A5E">
            <w:pPr>
              <w:pStyle w:val="Normalintable"/>
              <w:numPr>
                <w:ilvl w:val="0"/>
                <w:numId w:val="6"/>
              </w:numPr>
            </w:pPr>
            <w:r>
              <w:t>have your mortgage lender’s permission if you have a mortgage</w:t>
            </w:r>
          </w:p>
          <w:p w14:paraId="626CC4BC" w14:textId="77777777" w:rsidR="00257A5E" w:rsidRDefault="00257A5E" w:rsidP="00257A5E">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6746" w14:textId="77777777" w:rsidR="008F2A33" w:rsidRDefault="008F2A33">
      <w:pPr>
        <w:spacing w:before="0" w:after="0"/>
      </w:pPr>
      <w:r>
        <w:separator/>
      </w:r>
    </w:p>
  </w:endnote>
  <w:endnote w:type="continuationSeparator" w:id="0">
    <w:p w14:paraId="777C9EB6" w14:textId="77777777" w:rsidR="008F2A33" w:rsidRDefault="008F2A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716AD2"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5263" w14:textId="77777777" w:rsidR="008F2A33" w:rsidRDefault="008F2A33">
      <w:pPr>
        <w:spacing w:before="0" w:after="0"/>
      </w:pPr>
      <w:r>
        <w:rPr>
          <w:color w:val="000000"/>
        </w:rPr>
        <w:separator/>
      </w:r>
    </w:p>
  </w:footnote>
  <w:footnote w:type="continuationSeparator" w:id="0">
    <w:p w14:paraId="686C91BC" w14:textId="77777777" w:rsidR="008F2A33" w:rsidRDefault="008F2A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D95B" w14:textId="21A3025F" w:rsidR="00527151" w:rsidRDefault="00527151">
    <w:pPr>
      <w:pStyle w:val="Header"/>
    </w:pPr>
    <w:r>
      <w:rPr>
        <w:noProof/>
      </w:rPr>
      <w:drawing>
        <wp:anchor distT="0" distB="0" distL="114300" distR="114300" simplePos="0" relativeHeight="251661312" behindDoc="1" locked="0" layoutInCell="1" allowOverlap="1" wp14:anchorId="059EB561" wp14:editId="128A0385">
          <wp:simplePos x="0" y="0"/>
          <wp:positionH relativeFrom="page">
            <wp:posOffset>5962650</wp:posOffset>
          </wp:positionH>
          <wp:positionV relativeFrom="paragraph">
            <wp:posOffset>-438150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5E3"/>
    <w:rsid w:val="00047BB0"/>
    <w:rsid w:val="00052C1F"/>
    <w:rsid w:val="00131967"/>
    <w:rsid w:val="00223B78"/>
    <w:rsid w:val="00257A5E"/>
    <w:rsid w:val="003F3401"/>
    <w:rsid w:val="00527151"/>
    <w:rsid w:val="00617250"/>
    <w:rsid w:val="00680557"/>
    <w:rsid w:val="00793B19"/>
    <w:rsid w:val="008F2A33"/>
    <w:rsid w:val="00950EAF"/>
    <w:rsid w:val="00A84379"/>
    <w:rsid w:val="00B069E8"/>
    <w:rsid w:val="00D44A8A"/>
    <w:rsid w:val="00E211D2"/>
    <w:rsid w:val="00EA6D3F"/>
    <w:rsid w:val="00FB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Holden, Antony</cp:lastModifiedBy>
  <cp:revision>4</cp:revision>
  <cp:lastPrinted>2022-07-24T17:43:00Z</cp:lastPrinted>
  <dcterms:created xsi:type="dcterms:W3CDTF">2023-07-25T12:43:00Z</dcterms:created>
  <dcterms:modified xsi:type="dcterms:W3CDTF">2023-07-25T12:56:00Z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